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467E85" w:rsidRDefault="00467E85" w:rsidP="00467E85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467E85">
        <w:rPr>
          <w:rFonts w:cs="B Badr" w:hint="cs"/>
          <w:sz w:val="32"/>
          <w:szCs w:val="32"/>
          <w:rtl/>
          <w:lang w:bidi="fa-IR"/>
        </w:rPr>
        <w:t>خارج اصول81</w:t>
      </w:r>
    </w:p>
    <w:p w:rsidR="00467E85" w:rsidRPr="00467E85" w:rsidRDefault="00467E85" w:rsidP="00467E85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467E85">
        <w:rPr>
          <w:rFonts w:cs="B Badr" w:hint="cs"/>
          <w:sz w:val="32"/>
          <w:szCs w:val="32"/>
          <w:rtl/>
          <w:lang w:bidi="fa-IR"/>
        </w:rPr>
        <w:t>چهارشنبه*24/ 11/ 97</w:t>
      </w:r>
    </w:p>
    <w:p w:rsidR="00467E85" w:rsidRPr="00467E85" w:rsidRDefault="00467E85" w:rsidP="00467E85">
      <w:pPr>
        <w:pBdr>
          <w:bottom w:val="single" w:sz="12" w:space="1" w:color="auto"/>
        </w:pBdr>
        <w:bidi/>
        <w:jc w:val="center"/>
        <w:rPr>
          <w:rFonts w:cs="B Badr"/>
          <w:color w:val="FF0000"/>
          <w:sz w:val="32"/>
          <w:szCs w:val="32"/>
          <w:rtl/>
          <w:lang w:bidi="fa-IR"/>
        </w:rPr>
      </w:pPr>
      <w:r w:rsidRPr="00467E85">
        <w:rPr>
          <w:rFonts w:cs="B Badr" w:hint="cs"/>
          <w:color w:val="FF0000"/>
          <w:sz w:val="32"/>
          <w:szCs w:val="32"/>
          <w:rtl/>
          <w:lang w:bidi="fa-IR"/>
        </w:rPr>
        <w:t>*بحث إجزاء*</w:t>
      </w:r>
    </w:p>
    <w:p w:rsidR="00467E85" w:rsidRPr="00A95AA8" w:rsidRDefault="00467E85" w:rsidP="001A5B0B">
      <w:pPr>
        <w:bidi/>
        <w:rPr>
          <w:rFonts w:cs="B Badr"/>
          <w:color w:val="00B050"/>
          <w:sz w:val="32"/>
          <w:szCs w:val="32"/>
          <w:rtl/>
          <w:lang w:bidi="fa-IR"/>
        </w:rPr>
      </w:pPr>
      <w:r w:rsidRPr="00A95AA8">
        <w:rPr>
          <w:rFonts w:cs="B Badr" w:hint="cs"/>
          <w:color w:val="00B050"/>
          <w:sz w:val="32"/>
          <w:szCs w:val="32"/>
          <w:rtl/>
          <w:lang w:bidi="fa-IR"/>
        </w:rPr>
        <w:t>موعظه</w:t>
      </w:r>
    </w:p>
    <w:p w:rsidR="00467E85" w:rsidRDefault="00467E85" w:rsidP="001A5B0B">
      <w:pPr>
        <w:bidi/>
        <w:rPr>
          <w:rFonts w:cs="B Badr"/>
          <w:sz w:val="32"/>
          <w:szCs w:val="32"/>
          <w:rtl/>
          <w:lang w:bidi="fa-IR"/>
        </w:rPr>
      </w:pPr>
      <w:r w:rsidRPr="00467E85">
        <w:rPr>
          <w:rFonts w:cs="B Badr" w:hint="cs"/>
          <w:sz w:val="32"/>
          <w:szCs w:val="32"/>
          <w:rtl/>
          <w:lang w:bidi="fa-IR"/>
        </w:rPr>
        <w:t>أيها الناس في الإنسان عشر خصال يظهرها لسانه</w:t>
      </w:r>
      <w:r>
        <w:rPr>
          <w:rFonts w:cs="B Badr" w:hint="cs"/>
          <w:sz w:val="32"/>
          <w:szCs w:val="32"/>
          <w:rtl/>
          <w:lang w:bidi="fa-IR"/>
        </w:rPr>
        <w:t>:...</w:t>
      </w:r>
    </w:p>
    <w:p w:rsidR="00467E85" w:rsidRDefault="00467E85" w:rsidP="001A5B0B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10.</w:t>
      </w:r>
      <w:r w:rsidRPr="00467E85">
        <w:rPr>
          <w:rFonts w:cs="B Badr" w:hint="cs"/>
          <w:sz w:val="32"/>
          <w:szCs w:val="32"/>
          <w:rtl/>
          <w:lang w:bidi="fa-IR"/>
        </w:rPr>
        <w:t>و مون</w:t>
      </w:r>
      <w:r w:rsidR="00DC07D0">
        <w:rPr>
          <w:rFonts w:cs="B Badr" w:hint="cs"/>
          <w:sz w:val="32"/>
          <w:szCs w:val="32"/>
          <w:rtl/>
          <w:lang w:bidi="fa-IR"/>
        </w:rPr>
        <w:t>ِ</w:t>
      </w:r>
      <w:r w:rsidRPr="00467E85">
        <w:rPr>
          <w:rFonts w:cs="B Badr" w:hint="cs"/>
          <w:sz w:val="32"/>
          <w:szCs w:val="32"/>
          <w:rtl/>
          <w:lang w:bidi="fa-IR"/>
        </w:rPr>
        <w:t>ق تلتذ</w:t>
      </w:r>
      <w:r w:rsidR="00DC07D0">
        <w:rPr>
          <w:rFonts w:cs="B Badr" w:hint="cs"/>
          <w:sz w:val="32"/>
          <w:szCs w:val="32"/>
          <w:rtl/>
          <w:lang w:bidi="fa-IR"/>
        </w:rPr>
        <w:t>ّ</w:t>
      </w:r>
      <w:r w:rsidRPr="00467E85">
        <w:rPr>
          <w:rFonts w:cs="B Badr" w:hint="cs"/>
          <w:sz w:val="32"/>
          <w:szCs w:val="32"/>
          <w:rtl/>
          <w:lang w:bidi="fa-IR"/>
        </w:rPr>
        <w:t xml:space="preserve"> به الأسماع</w:t>
      </w:r>
      <w:r w:rsidR="00A95AA8">
        <w:rPr>
          <w:rFonts w:cs="B Badr" w:hint="cs"/>
          <w:sz w:val="32"/>
          <w:szCs w:val="32"/>
          <w:rtl/>
          <w:lang w:bidi="fa-IR"/>
        </w:rPr>
        <w:t>.</w:t>
      </w:r>
      <w:r>
        <w:rPr>
          <w:rStyle w:val="FootnoteReference"/>
          <w:rFonts w:cs="B Badr"/>
          <w:sz w:val="32"/>
          <w:szCs w:val="32"/>
          <w:rtl/>
          <w:lang w:bidi="fa-IR"/>
        </w:rPr>
        <w:footnoteReference w:id="1"/>
      </w:r>
    </w:p>
    <w:p w:rsidR="00A95AA8" w:rsidRDefault="001A5B0B" w:rsidP="001A5B0B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مونق: مُعجِب</w:t>
      </w:r>
      <w:r w:rsidR="00E25EE8">
        <w:rPr>
          <w:rFonts w:cs="B Badr" w:hint="cs"/>
          <w:sz w:val="32"/>
          <w:szCs w:val="32"/>
          <w:rtl/>
          <w:lang w:bidi="fa-IR"/>
        </w:rPr>
        <w:t xml:space="preserve">؛ زبان </w:t>
      </w:r>
      <w:r>
        <w:rPr>
          <w:rFonts w:cs="B Badr" w:hint="cs"/>
          <w:sz w:val="32"/>
          <w:szCs w:val="32"/>
          <w:rtl/>
          <w:lang w:bidi="fa-IR"/>
        </w:rPr>
        <w:t>دیگران را به تعجب در می آورد و گوشها از آن لذت می برند.</w:t>
      </w:r>
    </w:p>
    <w:p w:rsidR="00A95AA8" w:rsidRDefault="00A95AA8" w:rsidP="00A95AA8">
      <w:pPr>
        <w:bidi/>
        <w:jc w:val="center"/>
        <w:rPr>
          <w:rFonts w:cs="B Badr"/>
          <w:color w:val="00B050"/>
          <w:sz w:val="32"/>
          <w:szCs w:val="32"/>
          <w:rtl/>
          <w:lang w:bidi="fa-IR"/>
        </w:rPr>
      </w:pPr>
      <w:r w:rsidRPr="00A95AA8">
        <w:rPr>
          <w:rFonts w:cs="B Badr" w:hint="cs"/>
          <w:color w:val="00B050"/>
          <w:sz w:val="32"/>
          <w:szCs w:val="32"/>
          <w:rtl/>
          <w:lang w:bidi="fa-IR"/>
        </w:rPr>
        <w:t>*******</w:t>
      </w:r>
    </w:p>
    <w:p w:rsidR="00A95AA8" w:rsidRDefault="00231241" w:rsidP="00231241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 w:rsidRPr="0023124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کلام در فرمایشات علما بود؛ فرمایش امام نقل شد 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و نظر</w:t>
      </w:r>
      <w:r w:rsidR="00DC07D0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شان این شد که اماره</w:t>
      </w:r>
      <w:r w:rsidR="00DC07D0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مثبت می تواند حجت باشد زیرا حجیتش از باب بناء عقلاست.</w:t>
      </w:r>
    </w:p>
    <w:p w:rsidR="0087324C" w:rsidRPr="005643C8" w:rsidRDefault="0087324C" w:rsidP="0087324C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5643C8">
        <w:rPr>
          <w:rFonts w:cs="B Badr" w:hint="cs"/>
          <w:color w:val="0070C0"/>
          <w:sz w:val="32"/>
          <w:szCs w:val="32"/>
          <w:rtl/>
          <w:lang w:bidi="fa-IR"/>
        </w:rPr>
        <w:t>محقق نائینی</w:t>
      </w:r>
      <w:r w:rsidR="005643C8" w:rsidRPr="005643C8">
        <w:rPr>
          <w:rFonts w:cs="B Badr" w:hint="cs"/>
          <w:color w:val="0070C0"/>
          <w:sz w:val="32"/>
          <w:szCs w:val="32"/>
          <w:rtl/>
          <w:lang w:bidi="fa-IR"/>
        </w:rPr>
        <w:t xml:space="preserve"> در فوائد</w:t>
      </w:r>
    </w:p>
    <w:p w:rsidR="0087324C" w:rsidRDefault="0087324C" w:rsidP="004E617B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اماره</w:t>
      </w:r>
      <w:r w:rsidR="00DC07D0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حاکی</w:t>
      </w:r>
      <w:r w:rsidR="00DC07D0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از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نفس مؤدای خویش است و هیچ حکایتی از لوازم و ملزوماتش ندارد-نه لوازم عقلی و نه عادی و نه شرعیِ باواسطه ی عقلی یا </w:t>
      </w:r>
      <w:r w:rsidR="0034669E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با واسطه ی 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عادی-مثلا بیّنه یا خبر واحد می گوید: زید زنده است یا عمرو مرده است؛ این دو حاکی از حیات و موت اند و نظری به انبات لحیه و لوازم شرعی اش ندارند زیرا مُخبری که می گوید: زید زنده است، توجهی به نبات لحیه ی او ندارد چه برسد به لوازم آن؛ و از طرفی </w:t>
      </w:r>
      <w:r w:rsidR="001C2ED7">
        <w:rPr>
          <w:rFonts w:cs="B Badr" w:hint="cs"/>
          <w:color w:val="000000" w:themeColor="text1"/>
          <w:sz w:val="32"/>
          <w:szCs w:val="32"/>
          <w:rtl/>
          <w:lang w:bidi="fa-IR"/>
        </w:rPr>
        <w:t>حکایت از شیئ، متوقف بر توجه به آن شیئ است؛ لذا وجه حجیت امارات مثبته</w:t>
      </w:r>
      <w:r w:rsidR="00DC07D0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="001C2ED7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این نیست که حاکی از لوازم</w:t>
      </w:r>
      <w:r w:rsidR="00DC07D0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 w:rsidR="001C2ED7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مؤدای خویش یا ملزوماتش می باشند بلکه فلسفه ی حجیت اماره ی مثبته</w:t>
      </w:r>
      <w:r w:rsidR="004E617B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="001C2ED7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این است که کاشف و حاکیِ از مؤدای خویش است لکن چون کشف و حکایتش ناقص است، شارع، توسط اد</w:t>
      </w:r>
      <w:r w:rsidR="00CA294B">
        <w:rPr>
          <w:rFonts w:cs="B Badr" w:hint="cs"/>
          <w:color w:val="000000" w:themeColor="text1"/>
          <w:sz w:val="32"/>
          <w:szCs w:val="32"/>
          <w:rtl/>
          <w:lang w:bidi="fa-IR"/>
        </w:rPr>
        <w:t>له ی حجیت امارات، نقصان این کاشف</w:t>
      </w:r>
      <w:r w:rsidR="001C2ED7">
        <w:rPr>
          <w:rFonts w:cs="B Badr" w:hint="cs"/>
          <w:color w:val="000000" w:themeColor="text1"/>
          <w:sz w:val="32"/>
          <w:szCs w:val="32"/>
          <w:rtl/>
          <w:lang w:bidi="fa-IR"/>
        </w:rPr>
        <w:t>یت را جبران نموده است</w:t>
      </w:r>
      <w:r w:rsidR="004E617B">
        <w:rPr>
          <w:rFonts w:cs="B Badr" w:hint="cs"/>
          <w:color w:val="000000" w:themeColor="text1"/>
          <w:sz w:val="32"/>
          <w:szCs w:val="32"/>
          <w:rtl/>
          <w:lang w:bidi="fa-IR"/>
        </w:rPr>
        <w:t>؛</w:t>
      </w:r>
      <w:r w:rsidR="001C2ED7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لذا اماره</w:t>
      </w:r>
      <w:r w:rsidR="004E617B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="001C2ED7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نازل منزله ی علم قرار می گیرد و کشفش</w:t>
      </w:r>
      <w:r w:rsidR="004E617B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="001C2ED7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کشف تام محسوب می شود و همانطور که علم به شیئ، علم به لوازم اوست، اماره ی به شیئ، اماره ی به لوازم </w:t>
      </w:r>
      <w:r w:rsidR="0096070B">
        <w:rPr>
          <w:rFonts w:cs="B Badr" w:hint="cs"/>
          <w:color w:val="000000" w:themeColor="text1"/>
          <w:sz w:val="32"/>
          <w:szCs w:val="32"/>
          <w:rtl/>
          <w:lang w:bidi="fa-IR"/>
        </w:rPr>
        <w:t>او</w:t>
      </w:r>
      <w:r w:rsidR="005400AE">
        <w:rPr>
          <w:rFonts w:cs="B Badr" w:hint="cs"/>
          <w:color w:val="000000" w:themeColor="text1"/>
          <w:sz w:val="32"/>
          <w:szCs w:val="32"/>
          <w:rtl/>
          <w:lang w:bidi="fa-IR"/>
        </w:rPr>
        <w:t>ست؛</w:t>
      </w:r>
    </w:p>
    <w:p w:rsidR="001C2ED7" w:rsidRDefault="001C2ED7" w:rsidP="005400AE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lastRenderedPageBreak/>
        <w:t>و بالجمله: توهّم کون الوجه فی اعتبار مثبت</w:t>
      </w:r>
      <w:r w:rsidR="005400AE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ات الامارات دون مثبتات الاصول </w:t>
      </w:r>
      <w:r w:rsidR="005400AE" w:rsidRPr="005400AE">
        <w:rPr>
          <w:rFonts w:cs="B Badr" w:hint="cs"/>
          <w:color w:val="000000" w:themeColor="text1"/>
          <w:sz w:val="32"/>
          <w:szCs w:val="32"/>
          <w:rtl/>
          <w:lang w:bidi="fa-IR"/>
        </w:rPr>
        <w:t>هو أنّ أدلّة الأمارات تدلّ على إثبات اللوازم و الملزومات و أدلّة الأصول لا تدلّ على ذلك، في غاية الوهن و السقوط</w:t>
      </w:r>
      <w:r w:rsidR="005400AE">
        <w:rPr>
          <w:rFonts w:cs="B Badr" w:hint="cs"/>
          <w:color w:val="000000" w:themeColor="text1"/>
          <w:sz w:val="32"/>
          <w:szCs w:val="32"/>
          <w:rtl/>
          <w:lang w:bidi="fa-IR"/>
        </w:rPr>
        <w:t>.</w:t>
      </w:r>
      <w:r w:rsidR="005400AE" w:rsidRPr="005400AE">
        <w:rPr>
          <w:rFonts w:cs="B Badr"/>
          <w:color w:val="000000" w:themeColor="text1"/>
          <w:sz w:val="32"/>
          <w:szCs w:val="32"/>
          <w:vertAlign w:val="superscript"/>
          <w:rtl/>
          <w:lang w:bidi="fa-IR"/>
        </w:rPr>
        <w:footnoteReference w:id="2"/>
      </w:r>
    </w:p>
    <w:p w:rsidR="00C77EE9" w:rsidRPr="00F504ED" w:rsidRDefault="00C77EE9" w:rsidP="001C2ED7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F504ED">
        <w:rPr>
          <w:rFonts w:cs="B Badr" w:hint="cs"/>
          <w:color w:val="0070C0"/>
          <w:sz w:val="32"/>
          <w:szCs w:val="32"/>
          <w:rtl/>
          <w:lang w:bidi="fa-IR"/>
        </w:rPr>
        <w:t>توضیح</w:t>
      </w:r>
    </w:p>
    <w:p w:rsidR="001C2ED7" w:rsidRDefault="001C2ED7" w:rsidP="004A48B8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اگر کسی </w:t>
      </w:r>
      <w:r w:rsidR="00CE4F84">
        <w:rPr>
          <w:rFonts w:cs="B Badr" w:hint="cs"/>
          <w:color w:val="000000" w:themeColor="text1"/>
          <w:sz w:val="32"/>
          <w:szCs w:val="32"/>
          <w:rtl/>
          <w:lang w:bidi="fa-IR"/>
        </w:rPr>
        <w:t>توهم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کند که </w:t>
      </w:r>
      <w:r w:rsidR="000552C6">
        <w:rPr>
          <w:rFonts w:cs="B Badr" w:hint="cs"/>
          <w:color w:val="000000" w:themeColor="text1"/>
          <w:sz w:val="32"/>
          <w:szCs w:val="32"/>
          <w:rtl/>
          <w:lang w:bidi="fa-IR"/>
        </w:rPr>
        <w:t>«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ملاک</w:t>
      </w:r>
      <w:r w:rsidR="00F504ED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اعتبار</w:t>
      </w:r>
      <w:r w:rsidR="00F504ED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اماره ی مثبت این است که ادله ی اما</w:t>
      </w:r>
      <w:r w:rsidR="000552C6">
        <w:rPr>
          <w:rFonts w:cs="B Badr" w:hint="cs"/>
          <w:color w:val="000000" w:themeColor="text1"/>
          <w:sz w:val="32"/>
          <w:szCs w:val="32"/>
          <w:rtl/>
          <w:lang w:bidi="fa-IR"/>
        </w:rPr>
        <w:t>رات</w:t>
      </w:r>
      <w:r w:rsidR="00F504ED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="000552C6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همانطور که دلالت بر اثبات</w:t>
      </w:r>
      <w:r w:rsidR="00F504ED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 w:rsidR="000552C6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مؤ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د</w:t>
      </w:r>
      <w:r w:rsidR="006B427A">
        <w:rPr>
          <w:rFonts w:cs="B Badr" w:hint="cs"/>
          <w:color w:val="000000" w:themeColor="text1"/>
          <w:sz w:val="32"/>
          <w:szCs w:val="32"/>
          <w:rtl/>
          <w:lang w:bidi="fa-IR"/>
        </w:rPr>
        <w:t>ّ</w:t>
      </w:r>
      <w:r w:rsidR="00F504ED">
        <w:rPr>
          <w:rFonts w:cs="B Badr" w:hint="cs"/>
          <w:color w:val="000000" w:themeColor="text1"/>
          <w:sz w:val="32"/>
          <w:szCs w:val="32"/>
          <w:rtl/>
          <w:lang w:bidi="fa-IR"/>
        </w:rPr>
        <w:t>ا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ی</w:t>
      </w:r>
      <w:r w:rsidR="00F504ED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اماره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دارند، دلالت بر اثبات لوا</w:t>
      </w:r>
      <w:r w:rsidR="000552C6">
        <w:rPr>
          <w:rFonts w:cs="B Badr" w:hint="cs"/>
          <w:color w:val="000000" w:themeColor="text1"/>
          <w:sz w:val="32"/>
          <w:szCs w:val="32"/>
          <w:rtl/>
          <w:lang w:bidi="fa-IR"/>
        </w:rPr>
        <w:t>زم</w:t>
      </w:r>
      <w:r w:rsidR="00CE4F84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و ملزومات</w:t>
      </w:r>
      <w:r w:rsidR="000552C6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آن هم دارند-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بخلاف اصل مثبت</w:t>
      </w:r>
      <w:r w:rsidR="00E76118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زیرا دلیل اعتبارش فقط دلالت بر ثبوت مؤدای آن دارد</w:t>
      </w:r>
      <w:r w:rsidR="000552C6">
        <w:rPr>
          <w:rFonts w:cs="B Badr" w:hint="cs"/>
          <w:color w:val="000000" w:themeColor="text1"/>
          <w:sz w:val="32"/>
          <w:szCs w:val="32"/>
          <w:rtl/>
          <w:lang w:bidi="fa-IR"/>
        </w:rPr>
        <w:t>-»</w:t>
      </w:r>
      <w:r w:rsidR="00CA294B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="000552C6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</w:t>
      </w:r>
      <w:r w:rsidR="006B427A">
        <w:rPr>
          <w:rFonts w:cs="B Badr" w:hint="cs"/>
          <w:color w:val="000000" w:themeColor="text1"/>
          <w:sz w:val="32"/>
          <w:szCs w:val="32"/>
          <w:rtl/>
          <w:lang w:bidi="fa-IR"/>
        </w:rPr>
        <w:t>این توهّم</w:t>
      </w:r>
      <w:r w:rsidR="00CA294B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="006B427A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باطل است؛ </w:t>
      </w:r>
      <w:r w:rsidR="000552C6">
        <w:rPr>
          <w:rFonts w:cs="B Badr" w:hint="cs"/>
          <w:color w:val="000000" w:themeColor="text1"/>
          <w:sz w:val="32"/>
          <w:szCs w:val="32"/>
          <w:rtl/>
          <w:lang w:bidi="fa-IR"/>
        </w:rPr>
        <w:t>بلکه ملاک</w:t>
      </w:r>
      <w:r w:rsidR="00E76118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 w:rsidR="000552C6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</w:t>
      </w:r>
      <w:r w:rsidR="004A48B8">
        <w:rPr>
          <w:rFonts w:cs="B Badr" w:hint="cs"/>
          <w:color w:val="000000" w:themeColor="text1"/>
          <w:sz w:val="32"/>
          <w:szCs w:val="32"/>
          <w:rtl/>
          <w:lang w:bidi="fa-IR"/>
        </w:rPr>
        <w:t>حجیتِ</w:t>
      </w:r>
      <w:r w:rsidR="000552C6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امارات مثبته این است که حکم مجعول در باب امارات، حکمی است که مقتضیِ اثبات</w:t>
      </w:r>
      <w:r w:rsidR="00E76118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 w:rsidR="000552C6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لوازم</w:t>
      </w:r>
      <w:r w:rsidR="00E76118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آن</w:t>
      </w:r>
      <w:r w:rsidR="000552C6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می باشد-بخلاف حکم مجعول در باب اصول زیرا این حکم، از دائره ی اثبات مؤدی تجاوز نمی کند-؛ </w:t>
      </w:r>
      <w:r w:rsidR="006B427A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لذا </w:t>
      </w:r>
      <w:r w:rsidR="000552C6">
        <w:rPr>
          <w:rFonts w:cs="B Badr" w:hint="cs"/>
          <w:color w:val="000000" w:themeColor="text1"/>
          <w:sz w:val="32"/>
          <w:szCs w:val="32"/>
          <w:rtl/>
          <w:lang w:bidi="fa-IR"/>
        </w:rPr>
        <w:t>فرق بین امارات و اصول این است که این دو از نظر مجعول با هم متفاوتند نه از نظر اطلاق دلیل شان؛</w:t>
      </w:r>
    </w:p>
    <w:p w:rsidR="006B427A" w:rsidRDefault="008A6B8C" w:rsidP="006B427A">
      <w:pPr>
        <w:bidi/>
        <w:rPr>
          <w:rFonts w:cs="B Badr"/>
          <w:color w:val="000000" w:themeColor="text1"/>
          <w:sz w:val="32"/>
          <w:szCs w:val="32"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مثال: گاهی یک اماره مانند خبر واحد می گوید: زید زنده است؛ و گاهی یک اصل مانند استصحاب</w:t>
      </w:r>
      <w:r w:rsidR="00A05401">
        <w:rPr>
          <w:rFonts w:cs="B Badr" w:hint="cs"/>
          <w:color w:val="000000" w:themeColor="text1"/>
          <w:sz w:val="32"/>
          <w:szCs w:val="32"/>
          <w:rtl/>
          <w:lang w:bidi="fa-IR"/>
        </w:rPr>
        <w:t>؛ محقق نائینی می فرماید: مجعول این دو با هم متفاوت است؛ استصحاب</w:t>
      </w:r>
      <w:r w:rsidR="00812F9E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="00A0540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فقط مؤدایش ثابت می شود که</w:t>
      </w:r>
      <w:r w:rsidR="00812F9E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همان</w:t>
      </w:r>
      <w:r w:rsidR="00A0540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حیات زید است؛ اما خبر واحد</w:t>
      </w:r>
      <w:r w:rsidR="00812F9E">
        <w:rPr>
          <w:rFonts w:cs="B Badr" w:hint="cs"/>
          <w:color w:val="000000" w:themeColor="text1"/>
          <w:sz w:val="32"/>
          <w:szCs w:val="32"/>
          <w:rtl/>
          <w:lang w:bidi="fa-IR"/>
        </w:rPr>
        <w:t>، علاو</w:t>
      </w:r>
      <w:r w:rsidR="00A05401">
        <w:rPr>
          <w:rFonts w:cs="B Badr" w:hint="cs"/>
          <w:color w:val="000000" w:themeColor="text1"/>
          <w:sz w:val="32"/>
          <w:szCs w:val="32"/>
          <w:rtl/>
          <w:lang w:bidi="fa-IR"/>
        </w:rPr>
        <w:t>ه بر مؤد</w:t>
      </w:r>
      <w:r w:rsidR="00812F9E">
        <w:rPr>
          <w:rFonts w:cs="B Badr" w:hint="cs"/>
          <w:color w:val="000000" w:themeColor="text1"/>
          <w:sz w:val="32"/>
          <w:szCs w:val="32"/>
          <w:rtl/>
          <w:lang w:bidi="fa-IR"/>
        </w:rPr>
        <w:t>ّ</w:t>
      </w:r>
      <w:r w:rsidR="00A05401">
        <w:rPr>
          <w:rFonts w:cs="B Badr" w:hint="cs"/>
          <w:color w:val="000000" w:themeColor="text1"/>
          <w:sz w:val="32"/>
          <w:szCs w:val="32"/>
          <w:rtl/>
          <w:lang w:bidi="fa-IR"/>
        </w:rPr>
        <w:t>ی، لوازم و ملزوماتش نیز ثابت می شود؛ زیرا اماره می گوید</w:t>
      </w:r>
      <w:r w:rsidR="00812F9E">
        <w:rPr>
          <w:rFonts w:cs="B Badr" w:hint="cs"/>
          <w:color w:val="000000" w:themeColor="text1"/>
          <w:sz w:val="32"/>
          <w:szCs w:val="32"/>
          <w:rtl/>
          <w:lang w:bidi="fa-IR"/>
        </w:rPr>
        <w:t>:</w:t>
      </w:r>
      <w:r w:rsidR="00A0540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واقعا زید زنده است</w:t>
      </w:r>
      <w:r w:rsidR="00812F9E">
        <w:rPr>
          <w:rFonts w:cs="B Badr" w:hint="cs"/>
          <w:color w:val="000000" w:themeColor="text1"/>
          <w:sz w:val="32"/>
          <w:szCs w:val="32"/>
          <w:rtl/>
          <w:lang w:bidi="fa-IR"/>
        </w:rPr>
        <w:t>؛</w:t>
      </w:r>
      <w:r w:rsidR="00A0540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ولی اصل نمی گوید واقعا زید زنده است بلکه می گوید</w:t>
      </w:r>
      <w:r w:rsidR="00812F9E">
        <w:rPr>
          <w:rFonts w:cs="B Badr" w:hint="cs"/>
          <w:color w:val="000000" w:themeColor="text1"/>
          <w:sz w:val="32"/>
          <w:szCs w:val="32"/>
          <w:rtl/>
          <w:lang w:bidi="fa-IR"/>
        </w:rPr>
        <w:t>:</w:t>
      </w:r>
      <w:r w:rsidR="00A0540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لا تنقض الیقین با</w:t>
      </w:r>
      <w:r w:rsidR="00633475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لشک یعنی به یقین سابق ات </w:t>
      </w:r>
      <w:r w:rsidR="00812F9E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که همان حیات زید است، </w:t>
      </w:r>
      <w:r w:rsidR="00633475">
        <w:rPr>
          <w:rFonts w:cs="B Badr" w:hint="cs"/>
          <w:color w:val="000000" w:themeColor="text1"/>
          <w:sz w:val="32"/>
          <w:szCs w:val="32"/>
          <w:rtl/>
          <w:lang w:bidi="fa-IR"/>
        </w:rPr>
        <w:t>عمل کن؛ لذا مجعول اماره با مجعول اصل تفاوت دارد.</w:t>
      </w:r>
    </w:p>
    <w:p w:rsidR="001C2ED7" w:rsidRPr="00374141" w:rsidRDefault="00374141" w:rsidP="001C2ED7">
      <w:pPr>
        <w:bidi/>
        <w:rPr>
          <w:rFonts w:cs="B Badr"/>
          <w:color w:val="FF0000"/>
          <w:sz w:val="32"/>
          <w:szCs w:val="32"/>
          <w:rtl/>
          <w:lang w:bidi="fa-IR"/>
        </w:rPr>
      </w:pPr>
      <w:bookmarkStart w:id="0" w:name="_GoBack"/>
      <w:r w:rsidRPr="00374141">
        <w:rPr>
          <w:rFonts w:cs="B Badr" w:hint="cs"/>
          <w:color w:val="FF0000"/>
          <w:sz w:val="32"/>
          <w:szCs w:val="32"/>
          <w:rtl/>
          <w:lang w:bidi="fa-IR"/>
        </w:rPr>
        <w:t>(پایان)</w:t>
      </w:r>
      <w:bookmarkEnd w:id="0"/>
    </w:p>
    <w:sectPr w:rsidR="001C2ED7" w:rsidRPr="00374141" w:rsidSect="00467E85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6EF" w:rsidRDefault="006806EF" w:rsidP="00467E85">
      <w:r>
        <w:separator/>
      </w:r>
    </w:p>
  </w:endnote>
  <w:endnote w:type="continuationSeparator" w:id="0">
    <w:p w:rsidR="006806EF" w:rsidRDefault="006806EF" w:rsidP="00467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6EF" w:rsidRDefault="006806EF" w:rsidP="00467E85">
      <w:r>
        <w:separator/>
      </w:r>
    </w:p>
  </w:footnote>
  <w:footnote w:type="continuationSeparator" w:id="0">
    <w:p w:rsidR="006806EF" w:rsidRDefault="006806EF" w:rsidP="00467E85">
      <w:r>
        <w:continuationSeparator/>
      </w:r>
    </w:p>
  </w:footnote>
  <w:footnote w:id="1">
    <w:p w:rsidR="00467E85" w:rsidRPr="000F4E76" w:rsidRDefault="00467E85" w:rsidP="007A033B">
      <w:pPr>
        <w:bidi/>
        <w:rPr>
          <w:rFonts w:cs="B Badr"/>
          <w:sz w:val="24"/>
          <w:szCs w:val="24"/>
          <w:rtl/>
          <w:lang w:bidi="fa-IR"/>
        </w:rPr>
      </w:pPr>
      <w:r w:rsidRPr="000F4E76">
        <w:rPr>
          <w:rStyle w:val="FootnoteReference"/>
          <w:rFonts w:cs="B Badr"/>
          <w:sz w:val="24"/>
          <w:szCs w:val="24"/>
        </w:rPr>
        <w:footnoteRef/>
      </w:r>
      <w:r w:rsidRPr="000F4E76">
        <w:rPr>
          <w:rFonts w:cs="B Badr"/>
          <w:sz w:val="24"/>
          <w:szCs w:val="24"/>
        </w:rPr>
        <w:t xml:space="preserve"> </w:t>
      </w:r>
      <w:r w:rsidRPr="000F4E76">
        <w:rPr>
          <w:rFonts w:cs="B Badr" w:hint="cs"/>
          <w:sz w:val="24"/>
          <w:szCs w:val="24"/>
          <w:rtl/>
          <w:lang w:bidi="fa-IR"/>
        </w:rPr>
        <w:t xml:space="preserve">. خطبة لأمير المؤمنين ع و هي خطبة الوسيلة.الكافي (ط - الإسلامية)، ج‏8، ص: 18 </w:t>
      </w:r>
    </w:p>
  </w:footnote>
  <w:footnote w:id="2">
    <w:p w:rsidR="005400AE" w:rsidRPr="000F4E76" w:rsidRDefault="005400AE" w:rsidP="005400AE">
      <w:pPr>
        <w:pStyle w:val="NormalWeb"/>
        <w:bidi/>
        <w:rPr>
          <w:rFonts w:cs="B Badr"/>
          <w:rtl/>
          <w:lang w:bidi="fa-IR"/>
        </w:rPr>
      </w:pPr>
      <w:r w:rsidRPr="000F4E76">
        <w:rPr>
          <w:rFonts w:cs="B Badr"/>
        </w:rPr>
        <w:t>.</w:t>
      </w:r>
      <w:r w:rsidRPr="000F4E76">
        <w:rPr>
          <w:rStyle w:val="FootnoteReference"/>
          <w:rFonts w:cs="B Badr"/>
        </w:rPr>
        <w:footnoteRef/>
      </w:r>
      <w:r w:rsidRPr="000F4E76">
        <w:rPr>
          <w:rFonts w:cs="B Badr"/>
        </w:rPr>
        <w:t xml:space="preserve"> </w:t>
      </w:r>
      <w:r w:rsidRPr="000F4E76">
        <w:rPr>
          <w:rFonts w:cs="B Badr" w:hint="cs"/>
          <w:rtl/>
          <w:lang w:bidi="fa-IR"/>
        </w:rPr>
        <w:t>و بالجملة- توهّم: كون الوجه في اعتبار مثبتات الأمارات دون مثبتات الأصول هو أنّ أدلّة الأمارات تدلّ على إثبات اللوازم و الملزومات و أدلّة الأصول لا تدلّ على ذلك، في غاية الوهن و السقوط، بل الوجه في ذلك هو ما تقدّم: من أنّ الحكم المجعول في باب الأمارات معنى يقتضي إثبات اللوازم و الملزومات، بخلاف الحكم المجعول في باب الأصول، فانّه لا يقتضي أزيد من إثبات مؤدّى الأصل و ما يلزمه من الأحكام الشرعيّة بلا واسطة عقليّة أو عاديّة- بالبيان المتقدّم- فالفرق بين الأمارات و الأصول العمليّة في ذلك إنّما ينشأ من ناحية اختلاف المجعول فيهما، لا من ناحية إطلاق الدليل.</w:t>
      </w:r>
      <w:r w:rsidRPr="000F4E76">
        <w:rPr>
          <w:rFonts w:ascii="Traditional Arabic" w:eastAsia="Times New Roman" w:hAnsi="Traditional Arabic" w:cs="B Badr" w:hint="cs"/>
          <w:color w:val="2A415C"/>
          <w:rtl/>
          <w:lang w:bidi="fa-IR"/>
        </w:rPr>
        <w:t xml:space="preserve"> (</w:t>
      </w:r>
      <w:r w:rsidRPr="000F4E76">
        <w:rPr>
          <w:rFonts w:cs="B Badr" w:hint="cs"/>
          <w:rtl/>
          <w:lang w:bidi="fa-IR"/>
        </w:rPr>
        <w:t>فوائد الاصول، ج‏4، ص: 492)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E85"/>
    <w:rsid w:val="000445AA"/>
    <w:rsid w:val="000552C6"/>
    <w:rsid w:val="000918C6"/>
    <w:rsid w:val="000F4E76"/>
    <w:rsid w:val="00137EED"/>
    <w:rsid w:val="001A5B0B"/>
    <w:rsid w:val="001C2ED7"/>
    <w:rsid w:val="00231241"/>
    <w:rsid w:val="0034669E"/>
    <w:rsid w:val="00374141"/>
    <w:rsid w:val="00467E85"/>
    <w:rsid w:val="004A48B8"/>
    <w:rsid w:val="004E617B"/>
    <w:rsid w:val="005400AE"/>
    <w:rsid w:val="005643C8"/>
    <w:rsid w:val="00633475"/>
    <w:rsid w:val="006806EF"/>
    <w:rsid w:val="006B427A"/>
    <w:rsid w:val="00721315"/>
    <w:rsid w:val="007A033B"/>
    <w:rsid w:val="007D3C9F"/>
    <w:rsid w:val="00812F9E"/>
    <w:rsid w:val="0087324C"/>
    <w:rsid w:val="008A6B8C"/>
    <w:rsid w:val="0096070B"/>
    <w:rsid w:val="0097628B"/>
    <w:rsid w:val="009B4DC8"/>
    <w:rsid w:val="00A05401"/>
    <w:rsid w:val="00A67149"/>
    <w:rsid w:val="00A95AA8"/>
    <w:rsid w:val="00B03145"/>
    <w:rsid w:val="00C77EE9"/>
    <w:rsid w:val="00CA294B"/>
    <w:rsid w:val="00CE4F84"/>
    <w:rsid w:val="00DC07D0"/>
    <w:rsid w:val="00DF2F7E"/>
    <w:rsid w:val="00E14902"/>
    <w:rsid w:val="00E25EE8"/>
    <w:rsid w:val="00E76118"/>
    <w:rsid w:val="00F37AE7"/>
    <w:rsid w:val="00F5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67E85"/>
    <w:pPr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7E8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7E85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B427A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67E85"/>
    <w:pPr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7E8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7E85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B427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30</cp:revision>
  <dcterms:created xsi:type="dcterms:W3CDTF">2019-03-05T02:29:00Z</dcterms:created>
  <dcterms:modified xsi:type="dcterms:W3CDTF">2019-03-06T17:17:00Z</dcterms:modified>
</cp:coreProperties>
</file>